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0A1A53E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C906BA">
        <w:rPr>
          <w:b/>
          <w:sz w:val="24"/>
          <w:szCs w:val="24"/>
        </w:rPr>
        <w:t>12 LIPCA</w:t>
      </w:r>
      <w:r w:rsidRPr="003A6466">
        <w:rPr>
          <w:b/>
          <w:sz w:val="24"/>
          <w:szCs w:val="24"/>
        </w:rPr>
        <w:t xml:space="preserve"> 2020 R.</w:t>
      </w:r>
      <w:r w:rsidR="00C906BA">
        <w:rPr>
          <w:b/>
          <w:sz w:val="24"/>
          <w:szCs w:val="24"/>
        </w:rPr>
        <w:t xml:space="preserve"> (II TURA)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C906B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C906BA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Grala</cp:lastModifiedBy>
  <cp:revision>3</cp:revision>
  <cp:lastPrinted>2020-06-29T07:23:00Z</cp:lastPrinted>
  <dcterms:created xsi:type="dcterms:W3CDTF">2020-06-29T07:23:00Z</dcterms:created>
  <dcterms:modified xsi:type="dcterms:W3CDTF">2020-06-29T07:23:00Z</dcterms:modified>
</cp:coreProperties>
</file>